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49" w:rsidRDefault="00104E49" w:rsidP="00104E49">
      <w:pPr>
        <w:jc w:val="center"/>
      </w:pPr>
    </w:p>
    <w:p w:rsidR="00104E49" w:rsidRDefault="00104E49" w:rsidP="00104E4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647950" cy="157825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8507" t="22775" r="48475" b="52823"/>
                    <a:stretch/>
                  </pic:blipFill>
                  <pic:spPr bwMode="auto">
                    <a:xfrm>
                      <a:off x="0" y="0"/>
                      <a:ext cx="2650110" cy="157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E49" w:rsidRDefault="00104E49" w:rsidP="00104E49">
      <w:pPr>
        <w:jc w:val="center"/>
        <w:rPr>
          <w:rFonts w:ascii="Trebuchet MS" w:hAnsi="Trebuchet MS"/>
          <w:b/>
          <w:color w:val="1F497D" w:themeColor="text2"/>
          <w:sz w:val="24"/>
        </w:rPr>
      </w:pPr>
      <w:r w:rsidRPr="00060819">
        <w:rPr>
          <w:rFonts w:ascii="Trebuchet MS" w:hAnsi="Trebuchet MS"/>
          <w:b/>
          <w:color w:val="1F497D" w:themeColor="text2"/>
          <w:sz w:val="24"/>
        </w:rPr>
        <w:t>Asociación de Fábricas Argentinas de Componentes</w:t>
      </w:r>
    </w:p>
    <w:p w:rsidR="00104E49" w:rsidRDefault="00104E49" w:rsidP="00104E49">
      <w:pPr>
        <w:rPr>
          <w:rFonts w:ascii="Trebuchet MS" w:hAnsi="Trebuchet MS"/>
          <w:b/>
          <w:color w:val="1F497D" w:themeColor="text2"/>
          <w:sz w:val="24"/>
        </w:rPr>
      </w:pPr>
    </w:p>
    <w:p w:rsidR="00104E49" w:rsidRDefault="00104E49" w:rsidP="00104E49">
      <w:pPr>
        <w:jc w:val="center"/>
        <w:rPr>
          <w:rFonts w:ascii="Trebuchet MS" w:hAnsi="Trebuchet MS"/>
          <w:b/>
        </w:rPr>
      </w:pPr>
    </w:p>
    <w:p w:rsidR="00104E49" w:rsidRPr="00060819" w:rsidRDefault="00104E49" w:rsidP="00104E49">
      <w:pPr>
        <w:jc w:val="center"/>
        <w:rPr>
          <w:rFonts w:ascii="Trebuchet MS" w:hAnsi="Trebuchet MS"/>
          <w:b/>
        </w:rPr>
      </w:pPr>
    </w:p>
    <w:p w:rsidR="00104E49" w:rsidRPr="00104E49" w:rsidRDefault="00104E49" w:rsidP="007B046B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</w:rPr>
      </w:pPr>
      <w:r>
        <w:rPr>
          <w:rFonts w:ascii="Trebuchet MS" w:hAnsi="Trebuchet MS"/>
          <w:b/>
          <w:color w:val="1F497D" w:themeColor="text2"/>
          <w:sz w:val="28"/>
        </w:rPr>
        <w:t xml:space="preserve">RELEVAMIENTO SOBRE PRODUCCIÓN Y VENTAS </w:t>
      </w:r>
      <w:r w:rsidR="00D87ED9">
        <w:rPr>
          <w:rFonts w:ascii="Trebuchet MS" w:hAnsi="Trebuchet MS"/>
          <w:b/>
          <w:color w:val="1F497D" w:themeColor="text2"/>
          <w:sz w:val="28"/>
        </w:rPr>
        <w:t>DE AUTOPARTES EN EL</w:t>
      </w:r>
      <w:r>
        <w:rPr>
          <w:rFonts w:ascii="Trebuchet MS" w:hAnsi="Trebuchet MS"/>
          <w:b/>
          <w:color w:val="1F497D" w:themeColor="text2"/>
          <w:sz w:val="28"/>
        </w:rPr>
        <w:t xml:space="preserve"> MERCADO DE REPOSICIÓN</w:t>
      </w:r>
    </w:p>
    <w:p w:rsidR="00104E49" w:rsidRDefault="00104E49" w:rsidP="00104E49">
      <w:pPr>
        <w:jc w:val="center"/>
      </w:pPr>
    </w:p>
    <w:p w:rsidR="00104E49" w:rsidRDefault="00104E49" w:rsidP="00104E49">
      <w:pPr>
        <w:jc w:val="center"/>
      </w:pPr>
    </w:p>
    <w:p w:rsidR="00104E49" w:rsidRDefault="00104E49" w:rsidP="007B046B"/>
    <w:p w:rsidR="00104E49" w:rsidRDefault="00104E49" w:rsidP="00104E49">
      <w:pPr>
        <w:jc w:val="center"/>
      </w:pPr>
    </w:p>
    <w:p w:rsidR="00104E49" w:rsidRDefault="00104E49" w:rsidP="00104E49">
      <w:pPr>
        <w:jc w:val="center"/>
      </w:pPr>
    </w:p>
    <w:p w:rsidR="00104E49" w:rsidRDefault="00104E49" w:rsidP="00104E49">
      <w:pPr>
        <w:jc w:val="center"/>
      </w:pPr>
    </w:p>
    <w:p w:rsidR="00104E49" w:rsidRDefault="00104E49" w:rsidP="00104E49"/>
    <w:p w:rsidR="00104E49" w:rsidRDefault="00104E49" w:rsidP="00104E49">
      <w:pPr>
        <w:jc w:val="center"/>
      </w:pPr>
    </w:p>
    <w:p w:rsidR="00104E49" w:rsidRDefault="00104E49" w:rsidP="00104E49">
      <w:pPr>
        <w:jc w:val="center"/>
        <w:rPr>
          <w:rFonts w:ascii="Trebuchet MS" w:hAnsi="Trebuchet MS"/>
          <w:b/>
          <w:color w:val="1F497D" w:themeColor="text2"/>
          <w:sz w:val="28"/>
        </w:rPr>
      </w:pPr>
      <w:r>
        <w:rPr>
          <w:rFonts w:ascii="Trebuchet MS" w:hAnsi="Trebuchet MS"/>
          <w:b/>
          <w:color w:val="1F497D" w:themeColor="text2"/>
          <w:sz w:val="28"/>
        </w:rPr>
        <w:t>Agosto</w:t>
      </w:r>
      <w:r w:rsidRPr="00060819">
        <w:rPr>
          <w:rFonts w:ascii="Trebuchet MS" w:hAnsi="Trebuchet MS"/>
          <w:b/>
          <w:color w:val="1F497D" w:themeColor="text2"/>
          <w:sz w:val="28"/>
        </w:rPr>
        <w:t xml:space="preserve"> de 2020</w:t>
      </w:r>
    </w:p>
    <w:p w:rsidR="00104E49" w:rsidRDefault="00104E49" w:rsidP="00104E49">
      <w:pPr>
        <w:jc w:val="center"/>
        <w:rPr>
          <w:rFonts w:ascii="Trebuchet MS" w:hAnsi="Trebuchet MS"/>
          <w:b/>
          <w:color w:val="1F497D" w:themeColor="text2"/>
          <w:sz w:val="28"/>
        </w:rPr>
      </w:pPr>
    </w:p>
    <w:p w:rsidR="00104E49" w:rsidRPr="00060819" w:rsidRDefault="00104E49" w:rsidP="00104E49">
      <w:pPr>
        <w:jc w:val="center"/>
        <w:rPr>
          <w:rFonts w:ascii="Trebuchet MS" w:hAnsi="Trebuchet MS"/>
          <w:b/>
          <w:color w:val="1F497D" w:themeColor="text2"/>
        </w:rPr>
      </w:pPr>
    </w:p>
    <w:p w:rsidR="00104E49" w:rsidRDefault="00104E49" w:rsidP="00104E49">
      <w:pPr>
        <w:jc w:val="center"/>
        <w:rPr>
          <w:rFonts w:ascii="Trebuchet MS" w:hAnsi="Trebuchet MS"/>
          <w:b/>
          <w:color w:val="1F497D" w:themeColor="text2"/>
        </w:rPr>
      </w:pPr>
      <w:r w:rsidRPr="00060819">
        <w:rPr>
          <w:rFonts w:ascii="Trebuchet MS" w:hAnsi="Trebuchet MS"/>
          <w:b/>
          <w:color w:val="1F497D" w:themeColor="text2"/>
        </w:rPr>
        <w:t>Viamonte 1167 - 5º Piso - Tel: 54-11- 4375-0516 -</w:t>
      </w:r>
      <w:r>
        <w:rPr>
          <w:rFonts w:ascii="Trebuchet MS" w:hAnsi="Trebuchet MS"/>
          <w:b/>
          <w:color w:val="1F497D" w:themeColor="text2"/>
        </w:rPr>
        <w:t xml:space="preserve"> C.P. 1053</w:t>
      </w:r>
    </w:p>
    <w:p w:rsidR="00104E49" w:rsidRDefault="00104E49" w:rsidP="00104E49">
      <w:pPr>
        <w:jc w:val="center"/>
        <w:rPr>
          <w:rFonts w:ascii="Trebuchet MS" w:hAnsi="Trebuchet MS"/>
          <w:b/>
          <w:color w:val="1F497D" w:themeColor="text2"/>
        </w:rPr>
      </w:pPr>
      <w:r w:rsidRPr="00060819">
        <w:rPr>
          <w:rFonts w:ascii="Trebuchet MS" w:hAnsi="Trebuchet MS"/>
          <w:b/>
          <w:color w:val="1F497D" w:themeColor="text2"/>
        </w:rPr>
        <w:t xml:space="preserve">E-Mail: </w:t>
      </w:r>
      <w:hyperlink r:id="rId8" w:history="1">
        <w:r w:rsidRPr="0078082D">
          <w:rPr>
            <w:rStyle w:val="Hipervnculo"/>
            <w:rFonts w:ascii="Trebuchet MS" w:hAnsi="Trebuchet MS"/>
            <w:b/>
          </w:rPr>
          <w:t>afac@afac.org.ar</w:t>
        </w:r>
      </w:hyperlink>
    </w:p>
    <w:p w:rsidR="00104E49" w:rsidRPr="00060819" w:rsidRDefault="00104E49" w:rsidP="00104E49">
      <w:pPr>
        <w:jc w:val="center"/>
        <w:rPr>
          <w:rFonts w:ascii="Trebuchet MS" w:hAnsi="Trebuchet MS"/>
          <w:b/>
          <w:color w:val="1F497D" w:themeColor="text2"/>
        </w:rPr>
      </w:pPr>
      <w:r w:rsidRPr="00060819">
        <w:rPr>
          <w:rFonts w:ascii="Trebuchet MS" w:hAnsi="Trebuchet MS"/>
          <w:b/>
          <w:color w:val="1F497D" w:themeColor="text2"/>
        </w:rPr>
        <w:t>BUENOS AIRES - ARGENTINA</w:t>
      </w:r>
    </w:p>
    <w:p w:rsidR="007B046B" w:rsidRDefault="007B046B" w:rsidP="00104E49">
      <w:pPr>
        <w:spacing w:after="480"/>
        <w:jc w:val="center"/>
        <w:rPr>
          <w:b/>
          <w:sz w:val="24"/>
          <w:u w:val="single"/>
        </w:rPr>
      </w:pPr>
    </w:p>
    <w:p w:rsidR="004A4125" w:rsidRPr="005905DC" w:rsidRDefault="00D87ED9" w:rsidP="009108C5">
      <w:pPr>
        <w:pageBreakBefore/>
        <w:spacing w:after="480"/>
        <w:jc w:val="center"/>
        <w:rPr>
          <w:rFonts w:cstheme="minorHAnsi"/>
          <w:b/>
          <w:color w:val="1F497D" w:themeColor="text2"/>
          <w:sz w:val="24"/>
          <w:u w:val="single"/>
        </w:rPr>
      </w:pPr>
      <w:r>
        <w:rPr>
          <w:rFonts w:cstheme="minorHAnsi"/>
          <w:b/>
          <w:color w:val="1F497D" w:themeColor="text2"/>
          <w:sz w:val="24"/>
          <w:u w:val="single"/>
        </w:rPr>
        <w:lastRenderedPageBreak/>
        <w:t>SEÑALES DE RECUPERACIÓN</w:t>
      </w:r>
      <w:r w:rsidRPr="00D87ED9">
        <w:rPr>
          <w:rFonts w:cstheme="minorHAnsi"/>
          <w:b/>
          <w:color w:val="1F497D" w:themeColor="text2"/>
          <w:sz w:val="24"/>
          <w:u w:val="single"/>
        </w:rPr>
        <w:t xml:space="preserve"> </w:t>
      </w:r>
      <w:r>
        <w:rPr>
          <w:rFonts w:cstheme="minorHAnsi"/>
          <w:b/>
          <w:color w:val="1F497D" w:themeColor="text2"/>
          <w:sz w:val="24"/>
          <w:u w:val="single"/>
        </w:rPr>
        <w:t>DEL MERCADO DE REPOSICIÓN DE AUTOPARTES</w:t>
      </w:r>
    </w:p>
    <w:p w:rsidR="00A86805" w:rsidRDefault="000952F4" w:rsidP="002D317C">
      <w:pPr>
        <w:jc w:val="both"/>
      </w:pPr>
      <w:r>
        <w:t>Durante el mes de agosto</w:t>
      </w:r>
      <w:r w:rsidR="00051827">
        <w:t xml:space="preserve">, </w:t>
      </w:r>
      <w:r w:rsidR="008D1E54">
        <w:t xml:space="preserve">AFAC </w:t>
      </w:r>
      <w:r w:rsidR="000A0B30">
        <w:t>realiz</w:t>
      </w:r>
      <w:r w:rsidR="00D87ED9">
        <w:t>ó</w:t>
      </w:r>
      <w:r w:rsidR="00051827">
        <w:t xml:space="preserve"> una encuesta </w:t>
      </w:r>
      <w:r w:rsidR="00D87ED9">
        <w:t>a</w:t>
      </w:r>
      <w:r w:rsidR="008D1E54">
        <w:t xml:space="preserve"> empresas </w:t>
      </w:r>
      <w:r w:rsidR="00D87ED9">
        <w:t xml:space="preserve">autopartistas focalizadas al mercado de reposición </w:t>
      </w:r>
      <w:r w:rsidR="00A86805">
        <w:t xml:space="preserve">con el objetivo de </w:t>
      </w:r>
      <w:r w:rsidR="00D87ED9">
        <w:t>relevar las</w:t>
      </w:r>
      <w:r w:rsidR="00143427">
        <w:t xml:space="preserve"> </w:t>
      </w:r>
      <w:r w:rsidR="00D87ED9">
        <w:t>estimaciones</w:t>
      </w:r>
      <w:r w:rsidR="00143427">
        <w:t xml:space="preserve"> </w:t>
      </w:r>
      <w:r w:rsidR="00D87ED9">
        <w:t xml:space="preserve">de actividad </w:t>
      </w:r>
      <w:r w:rsidR="00143427">
        <w:t xml:space="preserve">para </w:t>
      </w:r>
      <w:r w:rsidR="00D87ED9">
        <w:t>2020</w:t>
      </w:r>
      <w:r w:rsidR="00A86805">
        <w:t xml:space="preserve">. </w:t>
      </w:r>
      <w:r w:rsidR="00D87ED9">
        <w:t>Se relevaron</w:t>
      </w:r>
      <w:r w:rsidR="000A0B30">
        <w:t xml:space="preserve"> </w:t>
      </w:r>
      <w:r w:rsidR="00F3046B">
        <w:t>la</w:t>
      </w:r>
      <w:r w:rsidR="00CC009E">
        <w:t xml:space="preserve">s variaciones en </w:t>
      </w:r>
      <w:r w:rsidR="00A86805">
        <w:t>producción y ventas</w:t>
      </w:r>
      <w:r w:rsidR="000D4945">
        <w:t xml:space="preserve"> </w:t>
      </w:r>
      <w:r w:rsidR="000A0B30">
        <w:t>(</w:t>
      </w:r>
      <w:r w:rsidR="000D4945">
        <w:t>me</w:t>
      </w:r>
      <w:r w:rsidR="000A0B30">
        <w:t>didas ambas en pesos corrientes)</w:t>
      </w:r>
      <w:r w:rsidR="00A86805">
        <w:t xml:space="preserve"> </w:t>
      </w:r>
      <w:r w:rsidR="00F3046B">
        <w:t xml:space="preserve">para el periodo enero-julio de 2020 </w:t>
      </w:r>
      <w:r w:rsidR="000D4945">
        <w:t>respecto</w:t>
      </w:r>
      <w:r w:rsidR="00F3046B">
        <w:t xml:space="preserve"> al mismo periodo de 2019, y </w:t>
      </w:r>
      <w:r w:rsidR="00D87ED9">
        <w:t>las</w:t>
      </w:r>
      <w:r w:rsidR="00F3046B">
        <w:t xml:space="preserve"> pr</w:t>
      </w:r>
      <w:r w:rsidR="00143427">
        <w:t>oyecciones para lo que resta de</w:t>
      </w:r>
      <w:r w:rsidR="00F3046B">
        <w:t xml:space="preserve"> </w:t>
      </w:r>
      <w:r w:rsidR="00143427">
        <w:t>2020</w:t>
      </w:r>
      <w:r w:rsidR="00F3046B">
        <w:t xml:space="preserve"> (agosto-diciembre) comparadas con el año anterior. </w:t>
      </w:r>
      <w:r w:rsidR="00917A59">
        <w:t xml:space="preserve">Participaron de la encuesta </w:t>
      </w:r>
      <w:r w:rsidR="00917A59" w:rsidRPr="000926B7">
        <w:rPr>
          <w:b/>
        </w:rPr>
        <w:t>47 empresas</w:t>
      </w:r>
      <w:r w:rsidR="002544EA">
        <w:t xml:space="preserve"> </w:t>
      </w:r>
      <w:r w:rsidR="00D87ED9">
        <w:t>fabricantes</w:t>
      </w:r>
      <w:r w:rsidR="000926B7">
        <w:t xml:space="preserve">, la </w:t>
      </w:r>
      <w:r w:rsidR="000926B7" w:rsidRPr="000926B7">
        <w:rPr>
          <w:b/>
        </w:rPr>
        <w:t>amplia mayoría pymes</w:t>
      </w:r>
      <w:r w:rsidR="000926B7">
        <w:t>,</w:t>
      </w:r>
      <w:r w:rsidR="00D87ED9">
        <w:t xml:space="preserve"> </w:t>
      </w:r>
      <w:r w:rsidR="002544EA">
        <w:t xml:space="preserve">que </w:t>
      </w:r>
      <w:r w:rsidR="005E48C7">
        <w:t xml:space="preserve">emplean </w:t>
      </w:r>
      <w:r w:rsidR="00D87ED9">
        <w:t xml:space="preserve">en forma directa a </w:t>
      </w:r>
      <w:r w:rsidR="005E48C7">
        <w:t>un total de</w:t>
      </w:r>
      <w:r w:rsidR="002544EA">
        <w:t xml:space="preserve"> </w:t>
      </w:r>
      <w:r w:rsidR="002544EA" w:rsidRPr="000926B7">
        <w:rPr>
          <w:b/>
        </w:rPr>
        <w:t xml:space="preserve">5.745 </w:t>
      </w:r>
      <w:r w:rsidR="00D87ED9" w:rsidRPr="000926B7">
        <w:rPr>
          <w:b/>
        </w:rPr>
        <w:t>personas</w:t>
      </w:r>
      <w:r w:rsidR="002544EA">
        <w:t>.</w:t>
      </w:r>
      <w:bookmarkStart w:id="0" w:name="_GoBack"/>
      <w:bookmarkEnd w:id="0"/>
    </w:p>
    <w:p w:rsidR="004A4125" w:rsidRDefault="009E2026" w:rsidP="002D317C">
      <w:pPr>
        <w:jc w:val="both"/>
        <w:rPr>
          <w:b/>
        </w:rPr>
      </w:pPr>
      <w:r>
        <w:t>L</w:t>
      </w:r>
      <w:r w:rsidR="00450FA2">
        <w:t>os datos para el periodo enero-julio arrojan los resultados que era</w:t>
      </w:r>
      <w:r w:rsidR="0027538B">
        <w:t>n</w:t>
      </w:r>
      <w:r w:rsidR="00450FA2">
        <w:t xml:space="preserve"> esperable</w:t>
      </w:r>
      <w:r w:rsidR="000926B7">
        <w:t>s</w:t>
      </w:r>
      <w:r w:rsidR="00450FA2">
        <w:t xml:space="preserve">: </w:t>
      </w:r>
      <w:r w:rsidR="00450FA2" w:rsidRPr="00450FA2">
        <w:t xml:space="preserve">la mayoría de las empresas registraron caídas, tanto en su producción como en sus ventas, principalmente como consecuencia del ASPO y de las restricciones </w:t>
      </w:r>
      <w:r w:rsidR="000926B7">
        <w:t>productivas y comerciales que ello implicó</w:t>
      </w:r>
      <w:r w:rsidR="00450FA2" w:rsidRPr="00450FA2">
        <w:t>.</w:t>
      </w:r>
      <w:r w:rsidR="00450FA2">
        <w:t xml:space="preserve"> </w:t>
      </w:r>
      <w:r w:rsidR="00450FA2" w:rsidRPr="00450FA2">
        <w:t xml:space="preserve">No obstante </w:t>
      </w:r>
      <w:r w:rsidR="000926B7">
        <w:t>ello</w:t>
      </w:r>
      <w:r w:rsidR="00450FA2" w:rsidRPr="00450FA2">
        <w:t xml:space="preserve">, </w:t>
      </w:r>
      <w:r w:rsidR="00450FA2" w:rsidRPr="009E2026">
        <w:rPr>
          <w:b/>
        </w:rPr>
        <w:t xml:space="preserve">las proyecciones para </w:t>
      </w:r>
      <w:r w:rsidR="000926B7" w:rsidRPr="009E2026">
        <w:rPr>
          <w:b/>
        </w:rPr>
        <w:t>todo 2020</w:t>
      </w:r>
      <w:r w:rsidR="001E494B">
        <w:rPr>
          <w:b/>
        </w:rPr>
        <w:t xml:space="preserve"> son favorables</w:t>
      </w:r>
      <w:r w:rsidR="00450FA2" w:rsidRPr="009E2026">
        <w:rPr>
          <w:b/>
        </w:rPr>
        <w:t xml:space="preserve"> y muestran una </w:t>
      </w:r>
      <w:r w:rsidR="000926B7" w:rsidRPr="009E2026">
        <w:rPr>
          <w:b/>
        </w:rPr>
        <w:t xml:space="preserve">importante </w:t>
      </w:r>
      <w:r w:rsidR="00450FA2" w:rsidRPr="009E2026">
        <w:rPr>
          <w:b/>
        </w:rPr>
        <w:t>recuperación</w:t>
      </w:r>
      <w:r>
        <w:rPr>
          <w:b/>
        </w:rPr>
        <w:t xml:space="preserve"> a partir de agosto</w:t>
      </w:r>
      <w:r w:rsidR="000926B7" w:rsidRPr="009E2026">
        <w:rPr>
          <w:b/>
        </w:rPr>
        <w:t xml:space="preserve">, </w:t>
      </w:r>
      <w:r>
        <w:rPr>
          <w:b/>
        </w:rPr>
        <w:t>con lo cual</w:t>
      </w:r>
      <w:r w:rsidR="00450FA2" w:rsidRPr="009E2026">
        <w:rPr>
          <w:b/>
        </w:rPr>
        <w:t xml:space="preserve"> </w:t>
      </w:r>
      <w:r w:rsidR="000926B7" w:rsidRPr="009E2026">
        <w:rPr>
          <w:b/>
        </w:rPr>
        <w:t>el 39,9%</w:t>
      </w:r>
      <w:r w:rsidR="00450FA2" w:rsidRPr="009E2026">
        <w:rPr>
          <w:b/>
        </w:rPr>
        <w:t xml:space="preserve"> </w:t>
      </w:r>
      <w:r>
        <w:rPr>
          <w:b/>
        </w:rPr>
        <w:t xml:space="preserve">de las </w:t>
      </w:r>
      <w:r w:rsidR="00450FA2" w:rsidRPr="009E2026">
        <w:rPr>
          <w:b/>
        </w:rPr>
        <w:t xml:space="preserve">empresas espera que su producción </w:t>
      </w:r>
      <w:r w:rsidR="000926B7" w:rsidRPr="009E2026">
        <w:rPr>
          <w:b/>
        </w:rPr>
        <w:t xml:space="preserve">se incremente, </w:t>
      </w:r>
      <w:r w:rsidR="00450FA2" w:rsidRPr="009E2026">
        <w:rPr>
          <w:b/>
        </w:rPr>
        <w:t xml:space="preserve">y </w:t>
      </w:r>
      <w:r w:rsidR="000926B7" w:rsidRPr="009E2026">
        <w:rPr>
          <w:b/>
        </w:rPr>
        <w:t xml:space="preserve">el 57,4 que </w:t>
      </w:r>
      <w:r w:rsidR="00450FA2" w:rsidRPr="009E2026">
        <w:rPr>
          <w:b/>
        </w:rPr>
        <w:t>sus ventas aumenten</w:t>
      </w:r>
      <w:r w:rsidRPr="009E2026">
        <w:rPr>
          <w:b/>
        </w:rPr>
        <w:t>. El 25,5</w:t>
      </w:r>
      <w:r w:rsidR="00450FA2" w:rsidRPr="009E2026">
        <w:rPr>
          <w:b/>
        </w:rPr>
        <w:t xml:space="preserve">% </w:t>
      </w:r>
      <w:r w:rsidRPr="009E2026">
        <w:rPr>
          <w:b/>
        </w:rPr>
        <w:t>considera</w:t>
      </w:r>
      <w:r w:rsidR="00450FA2" w:rsidRPr="009E2026">
        <w:rPr>
          <w:b/>
        </w:rPr>
        <w:t xml:space="preserve"> que este aumento podría ser </w:t>
      </w:r>
      <w:r w:rsidRPr="009E2026">
        <w:rPr>
          <w:b/>
        </w:rPr>
        <w:t>superior al</w:t>
      </w:r>
      <w:r w:rsidR="00450FA2" w:rsidRPr="009E2026">
        <w:rPr>
          <w:b/>
        </w:rPr>
        <w:t xml:space="preserve"> 20%.</w:t>
      </w:r>
    </w:p>
    <w:p w:rsidR="001D2E95" w:rsidRPr="001D2E95" w:rsidRDefault="001D2E95" w:rsidP="002D317C">
      <w:pPr>
        <w:jc w:val="both"/>
      </w:pPr>
      <w:r w:rsidRPr="001D2E95">
        <w:rPr>
          <w:b/>
        </w:rPr>
        <w:t>Nuestro país posee una flota vehicular de 14,3 millones de unidades</w:t>
      </w:r>
      <w:r>
        <w:t>, lo cual genera una demanda permanente de piezas para mantenerla en condiciones de funcionamiento. Ello resulta especialmente relevante no sólo en lo que respecta a actividades esenciales, sino también en un contexto de mayor utilización de los vehículos particulares en el marco de las medidas tendientes a una menor utilización del transporte público.</w:t>
      </w:r>
    </w:p>
    <w:p w:rsidR="007D1DB5" w:rsidRPr="003F506E" w:rsidRDefault="000D4945" w:rsidP="000A0B30">
      <w:pPr>
        <w:spacing w:before="360"/>
        <w:jc w:val="both"/>
        <w:rPr>
          <w:b/>
          <w:u w:val="single"/>
        </w:rPr>
      </w:pPr>
      <w:r w:rsidRPr="003F506E">
        <w:rPr>
          <w:b/>
          <w:u w:val="single"/>
        </w:rPr>
        <w:t>Periodo Enero-Julio 2019 vs. 2020</w:t>
      </w:r>
    </w:p>
    <w:p w:rsidR="00E77D38" w:rsidRDefault="00281D3E" w:rsidP="003F506E">
      <w:pPr>
        <w:pStyle w:val="Prrafodelista"/>
        <w:numPr>
          <w:ilvl w:val="0"/>
          <w:numId w:val="4"/>
        </w:numPr>
        <w:ind w:left="426"/>
        <w:jc w:val="both"/>
      </w:pPr>
      <w:r>
        <w:t xml:space="preserve">El 70% de las empresas encuestadas tuvo caídas en la producción durante los primeros 7 meses de 2020 comparado, en términos nominales, con el mismo periodo de 2019, y el 44,5% manifestó que esas caídas </w:t>
      </w:r>
      <w:r w:rsidR="0010298D">
        <w:t>llegan al 40%. Estos resultados</w:t>
      </w:r>
      <w:r>
        <w:t xml:space="preserve"> era</w:t>
      </w:r>
      <w:r w:rsidR="0010298D">
        <w:t>n</w:t>
      </w:r>
      <w:r>
        <w:t xml:space="preserve"> esperable</w:t>
      </w:r>
      <w:r w:rsidR="0010298D">
        <w:t xml:space="preserve">s, ya que dadas las restricciones impuestas </w:t>
      </w:r>
      <w:r w:rsidR="008552BE">
        <w:t>por el ASPO producto</w:t>
      </w:r>
      <w:r w:rsidR="005E6170" w:rsidRPr="005E6170">
        <w:rPr>
          <w:strike/>
        </w:rPr>
        <w:t xml:space="preserve"> </w:t>
      </w:r>
      <w:r w:rsidR="008552BE">
        <w:t>del Covid-19, la mayoría de las fábricas del sector debieron cerrar temporalmente o reducir al mínimo su dotación</w:t>
      </w:r>
      <w:r w:rsidR="009A048F">
        <w:t xml:space="preserve"> de personal</w:t>
      </w:r>
      <w:r w:rsidR="008552BE">
        <w:t xml:space="preserve"> y producción.</w:t>
      </w:r>
    </w:p>
    <w:p w:rsidR="00281D3E" w:rsidRDefault="008552BE" w:rsidP="00281D3E">
      <w:pPr>
        <w:pStyle w:val="Prrafodelista"/>
        <w:numPr>
          <w:ilvl w:val="0"/>
          <w:numId w:val="4"/>
        </w:numPr>
        <w:ind w:left="426"/>
        <w:jc w:val="both"/>
      </w:pPr>
      <w:r>
        <w:t xml:space="preserve">Por su parte, respecto a las ventas, la situación es similar, pero menos pronunciada: el 51% de las empresas sufrió reducciones en sus ventas y el 12,8% mantuvo los mismos niveles que en 2019. Esto </w:t>
      </w:r>
      <w:r w:rsidR="009E2026">
        <w:t xml:space="preserve">se </w:t>
      </w:r>
      <w:r>
        <w:t xml:space="preserve">explica por </w:t>
      </w:r>
      <w:r w:rsidR="009A048F">
        <w:t xml:space="preserve">los stocks que las empresas </w:t>
      </w:r>
      <w:r w:rsidR="009E2026">
        <w:t>tenían</w:t>
      </w:r>
      <w:r w:rsidR="009A048F">
        <w:t xml:space="preserve"> </w:t>
      </w:r>
      <w:r w:rsidR="009E2026">
        <w:t xml:space="preserve">acumulados </w:t>
      </w:r>
      <w:r w:rsidR="009A048F">
        <w:t>al momento de comenzar el ASPO</w:t>
      </w:r>
      <w:r w:rsidR="009E2026">
        <w:t xml:space="preserve"> y que fueron utilizados al habilitarse la actividad comercial antes que la productiva</w:t>
      </w:r>
      <w:r w:rsidR="009A048F">
        <w:t>.</w:t>
      </w:r>
    </w:p>
    <w:p w:rsidR="00F14B42" w:rsidRPr="00CA6063" w:rsidRDefault="00CA6063" w:rsidP="00F14B42">
      <w:pPr>
        <w:pStyle w:val="Prrafodelista"/>
        <w:numPr>
          <w:ilvl w:val="0"/>
          <w:numId w:val="4"/>
        </w:numPr>
        <w:ind w:left="426"/>
        <w:jc w:val="both"/>
        <w:rPr>
          <w:b/>
        </w:rPr>
      </w:pPr>
      <w:r>
        <w:t>El</w:t>
      </w:r>
      <w:r w:rsidR="00910A3F">
        <w:t xml:space="preserve"> 59% de las empresas que manifestaron</w:t>
      </w:r>
      <w:r w:rsidR="00143427">
        <w:t xml:space="preserve"> haber tenido caídas</w:t>
      </w:r>
      <w:r w:rsidR="00F14B42" w:rsidRPr="00F14B42">
        <w:t xml:space="preserve"> </w:t>
      </w:r>
      <w:r w:rsidR="00F14B42">
        <w:t xml:space="preserve">en este periodo, ya sea en su producción y/o en sus ventas, </w:t>
      </w:r>
      <w:r w:rsidR="00143427">
        <w:t xml:space="preserve">tienen </w:t>
      </w:r>
      <w:r w:rsidR="00923C58">
        <w:t>menos de</w:t>
      </w:r>
      <w:r w:rsidR="00143427">
        <w:t xml:space="preserve"> 100 empleados</w:t>
      </w:r>
      <w:r w:rsidR="00F14B42">
        <w:t xml:space="preserve">. </w:t>
      </w:r>
    </w:p>
    <w:p w:rsidR="00CA6063" w:rsidRPr="00CA6063" w:rsidRDefault="00CA6063" w:rsidP="00F14B42">
      <w:pPr>
        <w:pStyle w:val="Prrafodelista"/>
        <w:numPr>
          <w:ilvl w:val="0"/>
          <w:numId w:val="4"/>
        </w:numPr>
        <w:ind w:left="426"/>
        <w:jc w:val="both"/>
        <w:rPr>
          <w:b/>
        </w:rPr>
      </w:pPr>
      <w:r>
        <w:t xml:space="preserve">De las empresas que tienen </w:t>
      </w:r>
      <w:r w:rsidR="00923C58">
        <w:t>menos de</w:t>
      </w:r>
      <w:r>
        <w:t xml:space="preserve"> 100 empleados, la relación entre </w:t>
      </w:r>
      <w:r w:rsidRPr="005E6170">
        <w:t>la</w:t>
      </w:r>
      <w:r w:rsidR="00A910B2" w:rsidRPr="005E6170">
        <w:t>s</w:t>
      </w:r>
      <w:r w:rsidRPr="005E6170">
        <w:t xml:space="preserve"> que manifestaron haber tenido caídas en sus ventas y las que informaron aumentos en las misma</w:t>
      </w:r>
      <w:r w:rsidR="00A910B2" w:rsidRPr="005E6170">
        <w:t>s</w:t>
      </w:r>
      <w:r w:rsidRPr="005E6170">
        <w:t xml:space="preserve"> es </w:t>
      </w:r>
      <w:r w:rsidR="0036445C" w:rsidRPr="005E6170">
        <w:t>similar</w:t>
      </w:r>
      <w:r w:rsidR="005D094C" w:rsidRPr="005E6170">
        <w:t xml:space="preserve"> (45,2% y 48,4</w:t>
      </w:r>
      <w:r w:rsidRPr="005E6170">
        <w:t>%</w:t>
      </w:r>
      <w:r w:rsidR="005D094C" w:rsidRPr="005E6170">
        <w:t>, respectivamente</w:t>
      </w:r>
      <w:r w:rsidRPr="005E6170">
        <w:t>). Pero al analizar aquellas que sup</w:t>
      </w:r>
      <w:r>
        <w:t xml:space="preserve">eran los 100 empleados, está relación aumenta </w:t>
      </w:r>
      <w:r w:rsidR="005D094C">
        <w:t>para</w:t>
      </w:r>
      <w:r>
        <w:t xml:space="preserve"> aquellas que han sufrido reducciones (</w:t>
      </w:r>
      <w:r w:rsidR="005D094C">
        <w:t xml:space="preserve">62,5% versus 12,5%). </w:t>
      </w:r>
    </w:p>
    <w:p w:rsidR="00F14B42" w:rsidRDefault="00F14B42" w:rsidP="000A0B30">
      <w:pPr>
        <w:spacing w:before="360"/>
        <w:jc w:val="both"/>
        <w:rPr>
          <w:b/>
          <w:u w:val="single"/>
        </w:rPr>
      </w:pPr>
      <w:r>
        <w:rPr>
          <w:b/>
          <w:u w:val="single"/>
        </w:rPr>
        <w:lastRenderedPageBreak/>
        <w:t>Proyecciones para el periodo</w:t>
      </w:r>
      <w:r w:rsidRPr="003F506E">
        <w:rPr>
          <w:b/>
          <w:u w:val="single"/>
        </w:rPr>
        <w:t xml:space="preserve"> </w:t>
      </w:r>
      <w:r>
        <w:rPr>
          <w:b/>
          <w:u w:val="single"/>
        </w:rPr>
        <w:t>Agosto-Diciembre</w:t>
      </w:r>
      <w:r w:rsidRPr="003F506E">
        <w:rPr>
          <w:b/>
          <w:u w:val="single"/>
        </w:rPr>
        <w:t xml:space="preserve"> 2019 vs. 2020</w:t>
      </w:r>
    </w:p>
    <w:p w:rsidR="001318F9" w:rsidRDefault="001318F9" w:rsidP="001318F9">
      <w:pPr>
        <w:pStyle w:val="Prrafodelista"/>
        <w:numPr>
          <w:ilvl w:val="0"/>
          <w:numId w:val="5"/>
        </w:numPr>
        <w:ind w:left="426"/>
        <w:jc w:val="both"/>
      </w:pPr>
      <w:r>
        <w:t xml:space="preserve">Respecto a lo proyectado </w:t>
      </w:r>
      <w:r w:rsidRPr="00923C58">
        <w:rPr>
          <w:b/>
        </w:rPr>
        <w:t xml:space="preserve">para el periodo agosto-diciembre de 2020, respecto al mismo periodo de 2019, </w:t>
      </w:r>
      <w:r w:rsidR="00077E5C" w:rsidRPr="00923C58">
        <w:rPr>
          <w:b/>
        </w:rPr>
        <w:t xml:space="preserve">el panorama </w:t>
      </w:r>
      <w:r w:rsidR="00AC44F1" w:rsidRPr="00923C58">
        <w:rPr>
          <w:b/>
        </w:rPr>
        <w:t xml:space="preserve">que la mayoría de las empresas espera </w:t>
      </w:r>
      <w:r w:rsidR="00077E5C" w:rsidRPr="00923C58">
        <w:rPr>
          <w:b/>
        </w:rPr>
        <w:t xml:space="preserve">es </w:t>
      </w:r>
      <w:r w:rsidR="001E494B">
        <w:rPr>
          <w:b/>
        </w:rPr>
        <w:t>positivo</w:t>
      </w:r>
      <w:r w:rsidR="00077E5C" w:rsidRPr="00923C58">
        <w:rPr>
          <w:b/>
        </w:rPr>
        <w:t xml:space="preserve">: </w:t>
      </w:r>
      <w:r w:rsidR="00AC44F1" w:rsidRPr="00923C58">
        <w:rPr>
          <w:b/>
        </w:rPr>
        <w:t xml:space="preserve">más de la mitad de </w:t>
      </w:r>
      <w:r w:rsidRPr="00923C58">
        <w:rPr>
          <w:b/>
        </w:rPr>
        <w:t>las empresas respondió que proyecta aumentos tanto para su producción como para sus ventas (51,1% y 55,3% de las empresas, respectivamente).</w:t>
      </w:r>
      <w:r w:rsidR="00AC44F1">
        <w:t xml:space="preserve"> </w:t>
      </w:r>
    </w:p>
    <w:p w:rsidR="001318F9" w:rsidRDefault="001318F9" w:rsidP="001318F9">
      <w:pPr>
        <w:pStyle w:val="Prrafodelista"/>
        <w:numPr>
          <w:ilvl w:val="0"/>
          <w:numId w:val="5"/>
        </w:numPr>
        <w:ind w:left="426"/>
        <w:jc w:val="both"/>
      </w:pPr>
      <w:r>
        <w:t xml:space="preserve">En el caso de la producción, </w:t>
      </w:r>
      <w:r w:rsidR="00DE0BBA">
        <w:t>si bien un poco menos de l</w:t>
      </w:r>
      <w:r w:rsidR="00923C58">
        <w:t>a mitad estima reducciones</w:t>
      </w:r>
      <w:r w:rsidR="00DE0BBA">
        <w:t>, el 20% de las empresas que respondieron sostienen que esta ca</w:t>
      </w:r>
      <w:r w:rsidR="00F20E90">
        <w:t>ída será menor al 20%, y un 17,8</w:t>
      </w:r>
      <w:r w:rsidR="00A910B2">
        <w:t>% q</w:t>
      </w:r>
      <w:r w:rsidR="00A910B2" w:rsidRPr="005E6170">
        <w:t>ue la misma</w:t>
      </w:r>
      <w:r w:rsidR="00DE0BBA" w:rsidRPr="005E6170">
        <w:t xml:space="preserve"> será de entre</w:t>
      </w:r>
      <w:r w:rsidR="00DE0BBA">
        <w:t xml:space="preserve"> 20% y 40%.</w:t>
      </w:r>
      <w:r w:rsidR="00077E5C">
        <w:t xml:space="preserve"> </w:t>
      </w:r>
    </w:p>
    <w:p w:rsidR="00573B6C" w:rsidRDefault="00F20E90" w:rsidP="00573B6C">
      <w:pPr>
        <w:pStyle w:val="Prrafodelista"/>
        <w:numPr>
          <w:ilvl w:val="0"/>
          <w:numId w:val="5"/>
        </w:numPr>
        <w:ind w:left="426"/>
        <w:jc w:val="both"/>
      </w:pPr>
      <w:r>
        <w:t>Para las ventas</w:t>
      </w:r>
      <w:r w:rsidR="00FB550B">
        <w:t>,</w:t>
      </w:r>
      <w:r>
        <w:t xml:space="preserve"> </w:t>
      </w:r>
      <w:r w:rsidR="00077E5C">
        <w:t>la situación es similar</w:t>
      </w:r>
      <w:r>
        <w:t xml:space="preserve">: </w:t>
      </w:r>
      <w:r w:rsidR="00FB550B">
        <w:t xml:space="preserve">la mayoría de los encuestados espera un crecimiento en sus ventas, y de </w:t>
      </w:r>
      <w:r w:rsidR="00573B6C">
        <w:t xml:space="preserve">aquellas que proyectan una reducción, más de la mitad cree que será de hasta un 20% (25,5% del total de empresas encuestadas). </w:t>
      </w:r>
    </w:p>
    <w:p w:rsidR="00573B6C" w:rsidRDefault="00573B6C" w:rsidP="000A0B30">
      <w:pPr>
        <w:spacing w:before="360"/>
        <w:jc w:val="both"/>
        <w:rPr>
          <w:b/>
          <w:u w:val="single"/>
        </w:rPr>
      </w:pPr>
      <w:r>
        <w:rPr>
          <w:b/>
          <w:u w:val="single"/>
        </w:rPr>
        <w:t>Estimaciones para el periodo</w:t>
      </w:r>
      <w:r w:rsidRPr="003F506E">
        <w:rPr>
          <w:b/>
          <w:u w:val="single"/>
        </w:rPr>
        <w:t xml:space="preserve"> </w:t>
      </w:r>
      <w:r>
        <w:rPr>
          <w:b/>
          <w:u w:val="single"/>
        </w:rPr>
        <w:t>Enero-Diciembre</w:t>
      </w:r>
      <w:r w:rsidRPr="003F506E">
        <w:rPr>
          <w:b/>
          <w:u w:val="single"/>
        </w:rPr>
        <w:t xml:space="preserve"> 2019 vs. 2020</w:t>
      </w:r>
    </w:p>
    <w:p w:rsidR="000565E0" w:rsidRDefault="007C3468" w:rsidP="00672B4D">
      <w:pPr>
        <w:pStyle w:val="Prrafodelista"/>
        <w:numPr>
          <w:ilvl w:val="0"/>
          <w:numId w:val="6"/>
        </w:numPr>
        <w:ind w:left="426"/>
        <w:jc w:val="both"/>
      </w:pPr>
      <w:r>
        <w:t xml:space="preserve">Las estimaciones para </w:t>
      </w:r>
      <w:r w:rsidR="00923C58">
        <w:t xml:space="preserve">todo </w:t>
      </w:r>
      <w:r>
        <w:t xml:space="preserve">el año 2020, para la producción y las ventas </w:t>
      </w:r>
      <w:r w:rsidR="00923C58">
        <w:t>difieren</w:t>
      </w:r>
      <w:r>
        <w:t xml:space="preserve">: </w:t>
      </w:r>
      <w:r w:rsidR="00AC44F1">
        <w:t xml:space="preserve">en el caso de la primera, los encuestados respondieron en su mayoría que las variaciones respecto a 2019 serán negativas, mientras que en el caso de las ventas, la mayoría espera  una recuperación de las mismas. </w:t>
      </w:r>
      <w:r w:rsidR="00923C58">
        <w:t>La utilización de los stocks existentes ha permitido cubrir la demanda mientras que la producción aún se encuentra con ciertas restricciones para volver a los niveles de capacidad productiva previos al ASPO.</w:t>
      </w:r>
    </w:p>
    <w:p w:rsidR="007A03A2" w:rsidRDefault="009108C5" w:rsidP="00672B4D">
      <w:pPr>
        <w:pStyle w:val="Prrafodelista"/>
        <w:numPr>
          <w:ilvl w:val="0"/>
          <w:numId w:val="6"/>
        </w:numPr>
        <w:ind w:left="426"/>
        <w:jc w:val="both"/>
      </w:pPr>
      <w:r>
        <w:t>El 40% de las empresas cree que el balance del año 2020 para la producción será favorable</w:t>
      </w:r>
      <w:r w:rsidR="00E87385">
        <w:t>, y a</w:t>
      </w:r>
      <w:r w:rsidR="007A03A2">
        <w:t>unque el 60% restante estima caídas respecto a</w:t>
      </w:r>
      <w:r w:rsidR="00AC44F1">
        <w:t>l año pasado</w:t>
      </w:r>
      <w:r w:rsidR="007A03A2">
        <w:t xml:space="preserve">, el 29% del total respondió </w:t>
      </w:r>
      <w:r w:rsidR="007A03A2" w:rsidRPr="005E6170">
        <w:t xml:space="preserve">que </w:t>
      </w:r>
      <w:r w:rsidR="00A910B2" w:rsidRPr="005E6170">
        <w:t>é</w:t>
      </w:r>
      <w:r w:rsidR="007A03A2" w:rsidRPr="005E6170">
        <w:t>stas podría</w:t>
      </w:r>
      <w:r w:rsidR="007A03A2">
        <w:t xml:space="preserve">n ser </w:t>
      </w:r>
      <w:r w:rsidR="00923C58">
        <w:t>inferiores al</w:t>
      </w:r>
      <w:r w:rsidR="007A03A2">
        <w:t xml:space="preserve"> 20%.</w:t>
      </w:r>
    </w:p>
    <w:p w:rsidR="00672B4D" w:rsidRDefault="007A03A2" w:rsidP="00672B4D">
      <w:pPr>
        <w:pStyle w:val="Prrafodelista"/>
        <w:numPr>
          <w:ilvl w:val="0"/>
          <w:numId w:val="6"/>
        </w:numPr>
        <w:ind w:left="426"/>
        <w:jc w:val="both"/>
      </w:pPr>
      <w:r>
        <w:t xml:space="preserve"> </w:t>
      </w:r>
      <w:r w:rsidR="00AC44F1">
        <w:t xml:space="preserve">Por otro lado, el 57,4% espera finalizar el año con aumentos en sus ventas. Alrededor de un tercio del total de empresas relevadas cree que este aumento podría ser </w:t>
      </w:r>
      <w:r w:rsidR="00923C58">
        <w:t>inferior al</w:t>
      </w:r>
      <w:r w:rsidR="00AC44F1">
        <w:t xml:space="preserve"> 20%, y un 17% que podría llegar a un 40%</w:t>
      </w:r>
      <w:r w:rsidR="00923C58">
        <w:t xml:space="preserve"> de caída</w:t>
      </w:r>
      <w:r w:rsidR="00AC44F1">
        <w:t xml:space="preserve">. </w:t>
      </w:r>
    </w:p>
    <w:p w:rsidR="0086474C" w:rsidRPr="00067868" w:rsidRDefault="00E87385" w:rsidP="00821FF0">
      <w:pPr>
        <w:spacing w:before="240"/>
        <w:ind w:left="68"/>
        <w:jc w:val="both"/>
        <w:rPr>
          <w:b/>
        </w:rPr>
      </w:pPr>
      <w:r w:rsidRPr="00067868">
        <w:rPr>
          <w:b/>
        </w:rPr>
        <w:t xml:space="preserve">En términos generales, los </w:t>
      </w:r>
      <w:r w:rsidR="00517375" w:rsidRPr="00067868">
        <w:rPr>
          <w:b/>
        </w:rPr>
        <w:t>datos</w:t>
      </w:r>
      <w:r w:rsidRPr="00067868">
        <w:rPr>
          <w:b/>
        </w:rPr>
        <w:t xml:space="preserve"> obtenidos del relevamiento </w:t>
      </w:r>
      <w:r w:rsidR="00B12E17" w:rsidRPr="00067868">
        <w:rPr>
          <w:b/>
        </w:rPr>
        <w:t>exponen</w:t>
      </w:r>
      <w:r w:rsidRPr="00067868">
        <w:rPr>
          <w:b/>
        </w:rPr>
        <w:t xml:space="preserve"> un panorama </w:t>
      </w:r>
      <w:r w:rsidR="001E494B">
        <w:rPr>
          <w:b/>
        </w:rPr>
        <w:t>relativamente optimista</w:t>
      </w:r>
      <w:r w:rsidRPr="00067868">
        <w:rPr>
          <w:b/>
        </w:rPr>
        <w:t xml:space="preserve"> para el mercado de reposición</w:t>
      </w:r>
      <w:r w:rsidR="00923C58" w:rsidRPr="00067868">
        <w:rPr>
          <w:b/>
        </w:rPr>
        <w:t>, sobre todo teniendo en cuenta las expectativas de hace unas pocas semanas atrás</w:t>
      </w:r>
      <w:r w:rsidRPr="00067868">
        <w:rPr>
          <w:b/>
        </w:rPr>
        <w:t>. Las proyecciones para los próximos meses muestran una recuperación en la actividad</w:t>
      </w:r>
      <w:r w:rsidR="00B12E17" w:rsidRPr="00067868">
        <w:rPr>
          <w:b/>
        </w:rPr>
        <w:t xml:space="preserve"> del sector, y si bien el balance del año para la producción</w:t>
      </w:r>
      <w:r w:rsidR="00923C58" w:rsidRPr="00067868">
        <w:rPr>
          <w:b/>
        </w:rPr>
        <w:t xml:space="preserve"> no estaría exento de</w:t>
      </w:r>
      <w:r w:rsidR="00B12E17" w:rsidRPr="00067868">
        <w:rPr>
          <w:b/>
        </w:rPr>
        <w:t xml:space="preserve"> caídas, </w:t>
      </w:r>
      <w:r w:rsidR="00DA4F82" w:rsidRPr="00067868">
        <w:rPr>
          <w:b/>
        </w:rPr>
        <w:t>es importante de</w:t>
      </w:r>
      <w:r w:rsidR="00DA4F82" w:rsidRPr="005E6170">
        <w:rPr>
          <w:b/>
        </w:rPr>
        <w:t xml:space="preserve">stacar </w:t>
      </w:r>
      <w:r w:rsidR="00A910B2" w:rsidRPr="005E6170">
        <w:rPr>
          <w:b/>
        </w:rPr>
        <w:t xml:space="preserve">que </w:t>
      </w:r>
      <w:r w:rsidR="00DA4F82" w:rsidRPr="005E6170">
        <w:rPr>
          <w:b/>
        </w:rPr>
        <w:t>una d</w:t>
      </w:r>
      <w:r w:rsidR="00DA4F82" w:rsidRPr="00067868">
        <w:rPr>
          <w:b/>
        </w:rPr>
        <w:t xml:space="preserve">e las razones fundamentales de este resultado tiene que ver con el cierre temporal de la mayoría de las empresas y de las restricciones para operar que han tenido durante los primeros meses del ASPO. </w:t>
      </w:r>
      <w:r w:rsidR="00A66BF0" w:rsidRPr="00067868">
        <w:rPr>
          <w:b/>
        </w:rPr>
        <w:t xml:space="preserve">Dado el contexto </w:t>
      </w:r>
      <w:r w:rsidR="00923C58" w:rsidRPr="00067868">
        <w:rPr>
          <w:b/>
        </w:rPr>
        <w:t xml:space="preserve">de gravedad generado por la pandemia, el que </w:t>
      </w:r>
      <w:r w:rsidR="00A66BF0" w:rsidRPr="00067868">
        <w:rPr>
          <w:b/>
        </w:rPr>
        <w:t xml:space="preserve">aún estamos atravesando, </w:t>
      </w:r>
      <w:r w:rsidR="00DA4F82" w:rsidRPr="00067868">
        <w:rPr>
          <w:b/>
        </w:rPr>
        <w:t xml:space="preserve">los resultados </w:t>
      </w:r>
      <w:r w:rsidR="00923C58" w:rsidRPr="00067868">
        <w:rPr>
          <w:b/>
        </w:rPr>
        <w:t>esperados</w:t>
      </w:r>
      <w:r w:rsidR="00DA4F82" w:rsidRPr="00067868">
        <w:rPr>
          <w:b/>
        </w:rPr>
        <w:t xml:space="preserve"> son</w:t>
      </w:r>
      <w:r w:rsidR="00A66BF0" w:rsidRPr="00067868">
        <w:rPr>
          <w:b/>
        </w:rPr>
        <w:t xml:space="preserve"> alentadores.</w:t>
      </w:r>
    </w:p>
    <w:p w:rsidR="00E7216E" w:rsidRDefault="00E7216E" w:rsidP="007A03A2">
      <w:pPr>
        <w:rPr>
          <w:b/>
        </w:rPr>
      </w:pPr>
    </w:p>
    <w:p w:rsidR="00E7216E" w:rsidRDefault="00E7216E" w:rsidP="007A03A2">
      <w:pPr>
        <w:rPr>
          <w:b/>
        </w:rPr>
      </w:pPr>
    </w:p>
    <w:p w:rsidR="00000B6D" w:rsidRDefault="00000B6D" w:rsidP="002C4591">
      <w:pPr>
        <w:jc w:val="center"/>
        <w:rPr>
          <w:b/>
        </w:rPr>
      </w:pPr>
    </w:p>
    <w:p w:rsidR="007A03A2" w:rsidRPr="00000B6D" w:rsidRDefault="007A03A2" w:rsidP="00000B6D">
      <w:pPr>
        <w:pageBreakBefore/>
        <w:jc w:val="center"/>
        <w:rPr>
          <w:b/>
          <w:u w:val="single"/>
        </w:rPr>
      </w:pPr>
      <w:r w:rsidRPr="00000B6D">
        <w:rPr>
          <w:b/>
          <w:sz w:val="24"/>
          <w:u w:val="single"/>
        </w:rPr>
        <w:lastRenderedPageBreak/>
        <w:t>ANEXO – Resultados del Relevamiento</w:t>
      </w:r>
    </w:p>
    <w:p w:rsidR="007A03A2" w:rsidRDefault="007A03A2" w:rsidP="007A03A2">
      <w:pPr>
        <w:rPr>
          <w:b/>
        </w:rPr>
      </w:pPr>
    </w:p>
    <w:p w:rsidR="00C53EAC" w:rsidRDefault="00821FF0" w:rsidP="00C53EAC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4695825" cy="3109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88" cy="311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EAC" w:rsidRDefault="00C53EAC" w:rsidP="00C53EAC">
      <w:pPr>
        <w:jc w:val="center"/>
        <w:rPr>
          <w:b/>
        </w:rPr>
      </w:pPr>
    </w:p>
    <w:p w:rsidR="007A03A2" w:rsidRDefault="007A03A2" w:rsidP="00C53EAC">
      <w:pPr>
        <w:jc w:val="center"/>
        <w:rPr>
          <w:b/>
          <w:noProof/>
          <w:lang w:eastAsia="es-AR"/>
        </w:rPr>
      </w:pPr>
    </w:p>
    <w:p w:rsidR="007A03A2" w:rsidRDefault="00821FF0" w:rsidP="00C53EAC">
      <w:pPr>
        <w:jc w:val="center"/>
        <w:rPr>
          <w:b/>
          <w:noProof/>
          <w:lang w:eastAsia="es-AR"/>
        </w:rPr>
      </w:pPr>
      <w:r>
        <w:rPr>
          <w:b/>
          <w:noProof/>
          <w:lang w:eastAsia="es-AR"/>
        </w:rPr>
        <w:drawing>
          <wp:inline distT="0" distB="0" distL="0" distR="0">
            <wp:extent cx="4886325" cy="335351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59" cy="335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3A2" w:rsidRDefault="007A03A2" w:rsidP="00C53EAC">
      <w:pPr>
        <w:jc w:val="center"/>
        <w:rPr>
          <w:b/>
          <w:noProof/>
          <w:lang w:eastAsia="es-AR"/>
        </w:rPr>
      </w:pPr>
    </w:p>
    <w:p w:rsidR="002544EA" w:rsidRDefault="002544EA" w:rsidP="00C53EAC">
      <w:pPr>
        <w:jc w:val="center"/>
        <w:rPr>
          <w:b/>
          <w:noProof/>
          <w:lang w:eastAsia="es-AR"/>
        </w:rPr>
      </w:pPr>
    </w:p>
    <w:p w:rsidR="00104E49" w:rsidRDefault="00104E49" w:rsidP="00C53EAC">
      <w:pPr>
        <w:jc w:val="center"/>
        <w:rPr>
          <w:b/>
        </w:rPr>
      </w:pPr>
    </w:p>
    <w:p w:rsidR="007A03A2" w:rsidRDefault="00C04897" w:rsidP="00C53EAC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4619625" cy="3170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16" cy="317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E49" w:rsidRDefault="00104E49" w:rsidP="00C53EAC">
      <w:pPr>
        <w:jc w:val="center"/>
        <w:rPr>
          <w:b/>
        </w:rPr>
      </w:pPr>
    </w:p>
    <w:p w:rsidR="002544EA" w:rsidRDefault="002544EA" w:rsidP="00C53EAC">
      <w:pPr>
        <w:jc w:val="center"/>
        <w:rPr>
          <w:b/>
        </w:rPr>
      </w:pPr>
    </w:p>
    <w:p w:rsidR="002544EA" w:rsidRDefault="002544EA" w:rsidP="00C53EAC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4953000" cy="33955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72" cy="339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6E" w:rsidRDefault="00E7216E" w:rsidP="00C53EAC">
      <w:pPr>
        <w:jc w:val="center"/>
        <w:rPr>
          <w:b/>
          <w:noProof/>
          <w:lang w:eastAsia="es-AR"/>
        </w:rPr>
      </w:pPr>
    </w:p>
    <w:p w:rsidR="00E7216E" w:rsidRDefault="00E7216E" w:rsidP="00C53EAC">
      <w:pPr>
        <w:jc w:val="center"/>
        <w:rPr>
          <w:b/>
          <w:noProof/>
          <w:lang w:eastAsia="es-AR"/>
        </w:rPr>
      </w:pPr>
    </w:p>
    <w:sectPr w:rsidR="00E7216E" w:rsidSect="00000B6D">
      <w:footerReference w:type="default" r:id="rId13"/>
      <w:pgSz w:w="11907" w:h="16839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70" w:rsidRDefault="005E6170" w:rsidP="00000B6D">
      <w:pPr>
        <w:spacing w:after="0" w:line="240" w:lineRule="auto"/>
      </w:pPr>
      <w:r>
        <w:separator/>
      </w:r>
    </w:p>
  </w:endnote>
  <w:endnote w:type="continuationSeparator" w:id="0">
    <w:p w:rsidR="005E6170" w:rsidRDefault="005E6170" w:rsidP="0000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962971"/>
      <w:docPartObj>
        <w:docPartGallery w:val="Page Numbers (Bottom of Page)"/>
        <w:docPartUnique/>
      </w:docPartObj>
    </w:sdtPr>
    <w:sdtContent>
      <w:p w:rsidR="005E6170" w:rsidRDefault="005E6170">
        <w:pPr>
          <w:pStyle w:val="Piedepgina"/>
          <w:jc w:val="center"/>
        </w:pPr>
        <w:fldSimple w:instr="PAGE   \* MERGEFORMAT">
          <w:r w:rsidRPr="005E6170">
            <w:rPr>
              <w:noProof/>
              <w:lang w:val="es-ES"/>
            </w:rPr>
            <w:t>1</w:t>
          </w:r>
        </w:fldSimple>
      </w:p>
    </w:sdtContent>
  </w:sdt>
  <w:p w:rsidR="005E6170" w:rsidRDefault="005E61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70" w:rsidRDefault="005E6170" w:rsidP="00000B6D">
      <w:pPr>
        <w:spacing w:after="0" w:line="240" w:lineRule="auto"/>
      </w:pPr>
      <w:r>
        <w:separator/>
      </w:r>
    </w:p>
  </w:footnote>
  <w:footnote w:type="continuationSeparator" w:id="0">
    <w:p w:rsidR="005E6170" w:rsidRDefault="005E6170" w:rsidP="0000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D66"/>
    <w:multiLevelType w:val="hybridMultilevel"/>
    <w:tmpl w:val="F9F6E5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3D11"/>
    <w:multiLevelType w:val="hybridMultilevel"/>
    <w:tmpl w:val="FF561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77FF"/>
    <w:multiLevelType w:val="hybridMultilevel"/>
    <w:tmpl w:val="9F5C3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12A9"/>
    <w:multiLevelType w:val="hybridMultilevel"/>
    <w:tmpl w:val="04E64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549FC"/>
    <w:multiLevelType w:val="hybridMultilevel"/>
    <w:tmpl w:val="BAF492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7A3A"/>
    <w:multiLevelType w:val="hybridMultilevel"/>
    <w:tmpl w:val="BBAA1C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A76"/>
    <w:rsid w:val="00000B6D"/>
    <w:rsid w:val="00043A9A"/>
    <w:rsid w:val="00051827"/>
    <w:rsid w:val="000565E0"/>
    <w:rsid w:val="00067868"/>
    <w:rsid w:val="00074246"/>
    <w:rsid w:val="00077E5C"/>
    <w:rsid w:val="000926B7"/>
    <w:rsid w:val="000952F4"/>
    <w:rsid w:val="000A0B30"/>
    <w:rsid w:val="000D4945"/>
    <w:rsid w:val="0010298D"/>
    <w:rsid w:val="00104E49"/>
    <w:rsid w:val="001318F9"/>
    <w:rsid w:val="00143427"/>
    <w:rsid w:val="00152A76"/>
    <w:rsid w:val="001D2E95"/>
    <w:rsid w:val="001E494B"/>
    <w:rsid w:val="002544EA"/>
    <w:rsid w:val="0027538B"/>
    <w:rsid w:val="00281D3E"/>
    <w:rsid w:val="002A143E"/>
    <w:rsid w:val="002C4591"/>
    <w:rsid w:val="002D317C"/>
    <w:rsid w:val="003353D2"/>
    <w:rsid w:val="0036445C"/>
    <w:rsid w:val="003B6838"/>
    <w:rsid w:val="003F506E"/>
    <w:rsid w:val="00422276"/>
    <w:rsid w:val="00450FA2"/>
    <w:rsid w:val="004A4125"/>
    <w:rsid w:val="004F114E"/>
    <w:rsid w:val="00517375"/>
    <w:rsid w:val="00536999"/>
    <w:rsid w:val="00573B6C"/>
    <w:rsid w:val="005905DC"/>
    <w:rsid w:val="005D094C"/>
    <w:rsid w:val="005E48C7"/>
    <w:rsid w:val="005E4B17"/>
    <w:rsid w:val="005E6170"/>
    <w:rsid w:val="00644A7F"/>
    <w:rsid w:val="00672B4D"/>
    <w:rsid w:val="006F7082"/>
    <w:rsid w:val="00737905"/>
    <w:rsid w:val="007A03A2"/>
    <w:rsid w:val="007B046B"/>
    <w:rsid w:val="007C3468"/>
    <w:rsid w:val="007C46A5"/>
    <w:rsid w:val="007D1DB5"/>
    <w:rsid w:val="00803126"/>
    <w:rsid w:val="00821FF0"/>
    <w:rsid w:val="008552BE"/>
    <w:rsid w:val="0086474C"/>
    <w:rsid w:val="00866DC7"/>
    <w:rsid w:val="008D1E54"/>
    <w:rsid w:val="008F18BD"/>
    <w:rsid w:val="009108C5"/>
    <w:rsid w:val="00910A3F"/>
    <w:rsid w:val="00917A59"/>
    <w:rsid w:val="00923C58"/>
    <w:rsid w:val="009A048F"/>
    <w:rsid w:val="009E2026"/>
    <w:rsid w:val="00A66BF0"/>
    <w:rsid w:val="00A86805"/>
    <w:rsid w:val="00A910B2"/>
    <w:rsid w:val="00AC44F1"/>
    <w:rsid w:val="00B12E17"/>
    <w:rsid w:val="00B336FC"/>
    <w:rsid w:val="00C04897"/>
    <w:rsid w:val="00C11A48"/>
    <w:rsid w:val="00C53EAC"/>
    <w:rsid w:val="00CA6063"/>
    <w:rsid w:val="00CC009E"/>
    <w:rsid w:val="00D25206"/>
    <w:rsid w:val="00D87ED9"/>
    <w:rsid w:val="00DA4F82"/>
    <w:rsid w:val="00DE0BBA"/>
    <w:rsid w:val="00E7216E"/>
    <w:rsid w:val="00E77D38"/>
    <w:rsid w:val="00E87385"/>
    <w:rsid w:val="00EB3F09"/>
    <w:rsid w:val="00F14B42"/>
    <w:rsid w:val="00F20E90"/>
    <w:rsid w:val="00F3046B"/>
    <w:rsid w:val="00F458F1"/>
    <w:rsid w:val="00FB0C7F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D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4E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B6D"/>
  </w:style>
  <w:style w:type="paragraph" w:styleId="Piedepgina">
    <w:name w:val="footer"/>
    <w:basedOn w:val="Normal"/>
    <w:link w:val="PiedepginaCar"/>
    <w:uiPriority w:val="99"/>
    <w:unhideWhenUsed/>
    <w:rsid w:val="0000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D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4E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B6D"/>
  </w:style>
  <w:style w:type="paragraph" w:styleId="Piedepgina">
    <w:name w:val="footer"/>
    <w:basedOn w:val="Normal"/>
    <w:link w:val="PiedepginaCar"/>
    <w:uiPriority w:val="99"/>
    <w:unhideWhenUsed/>
    <w:rsid w:val="00000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c@afac.org.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julieta.arias</cp:lastModifiedBy>
  <cp:revision>4</cp:revision>
  <dcterms:created xsi:type="dcterms:W3CDTF">2020-08-24T13:25:00Z</dcterms:created>
  <dcterms:modified xsi:type="dcterms:W3CDTF">2020-08-24T14:33:00Z</dcterms:modified>
</cp:coreProperties>
</file>